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11"/>
          <w:szCs w:val="11"/>
          <w:lang w:val="en-US" w:eastAsia="zh-CN"/>
        </w:rPr>
      </w:pPr>
    </w:p>
    <w:p>
      <w:pPr>
        <w:spacing w:line="600" w:lineRule="exact"/>
        <w:jc w:val="both"/>
        <w:rPr>
          <w:rFonts w:hint="eastAsia" w:ascii="宋体" w:hAnsi="宋体" w:eastAsia="宋体" w:cs="宋体"/>
          <w:b/>
          <w:bCs/>
          <w:sz w:val="11"/>
          <w:szCs w:val="11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伊财综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3号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600" w:lineRule="exact"/>
        <w:ind w:right="16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下达2023年自治区财政城镇保障性</w:t>
      </w:r>
    </w:p>
    <w:p>
      <w:pPr>
        <w:spacing w:line="600" w:lineRule="exact"/>
        <w:ind w:right="160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安居工程补助资金预算的通知</w:t>
      </w:r>
    </w:p>
    <w:p>
      <w:pPr>
        <w:spacing w:line="600" w:lineRule="exact"/>
        <w:ind w:right="160"/>
        <w:jc w:val="center"/>
        <w:rPr>
          <w:rFonts w:hint="default" w:ascii="方正小标宋_GBK" w:hAnsi="方正小标宋_GBK" w:eastAsia="方正小标宋_GBK" w:cs="方正小标宋_GBK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TW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伊吾县住房和城乡建设局、政府性投资项目代建服务中心</w:t>
      </w:r>
      <w:r>
        <w:rPr>
          <w:rFonts w:hint="eastAsia" w:ascii="楷体" w:hAnsi="楷体" w:eastAsia="楷体" w:cs="楷体"/>
          <w:sz w:val="32"/>
          <w:szCs w:val="32"/>
          <w:lang w:val="zh-TW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为进一步加快转移支付预算执行进度，提高预算编制的完整性，根据哈市财综《关于下达2023年自治区财政城镇保障性安居工程补助资金预算的通知》（哈市财综〔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〕25号）文件要求，现就下达2023年自治区财政城镇保障性安居工程补助资金预算有关事宜通知如下：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为进一步加快转移支付预算执行进度，提高预算编制的完整性，现下达你单位2023年自治区财政城镇保障性安居工程补助资金，列入2023年政府收支分类科目1100258“住房保障共同财政事权转移支付收入”科目。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改项资金按规定程序拨付使用，具体使用范围按照新财规〔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〕9号文件规定执行。2023年，自治区财政城镇保障性安居工程补助资金纳入直达资金管理，改项直达资金的标识为“02自治区直达资金”，贯穿资金分配、拨付、使用等整个环节且保持不变。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改项资金使用时，按用途分别填列2023年政府收支分类科目2210103“棚户区改造”、2210106“公共租赁住房”、2210108“老旧小区改造”、2210110“保障性租赁住房”、2210107“保障性租金补贴”等科目。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各区（县）财政部门要配合住房和城乡建设部门于12月20日将区域绩效目标（附件2、3、4）报哈密市住房和城乡建设局汇总上报。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请你单位按照中央和自治区关于全面实施预算绩效管理的决策部署，加强绩效目标管理，做好绩效运行监控和绩效评价，确保财政资金安全有效。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1.关于下达2023年自治区财政城镇保障性安居工程补助资金分配表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9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伊吾县财政局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right="159"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2023年10月8日</w:t>
      </w:r>
    </w:p>
    <w:p>
      <w:pPr>
        <w:spacing w:line="600" w:lineRule="exact"/>
        <w:ind w:left="1598" w:leftChars="304" w:right="160" w:hanging="960" w:hangingChars="3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left="1598" w:leftChars="304" w:right="160" w:hanging="960" w:hangingChars="3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left="1598" w:leftChars="304" w:right="160" w:hanging="960" w:hangingChars="3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附件1</w:t>
      </w:r>
    </w:p>
    <w:p>
      <w:pPr>
        <w:spacing w:line="600" w:lineRule="exact"/>
        <w:ind w:left="1598" w:leftChars="304" w:right="160" w:hanging="960" w:hangingChars="30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left="420" w:leftChars="200" w:right="160"/>
        <w:jc w:val="center"/>
        <w:rPr>
          <w:rFonts w:hint="eastAsia" w:ascii="仿宋_GB2312" w:hAnsi="仿宋" w:eastAsia="仿宋_GB2312" w:cs="Times New Roman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Times New Roman"/>
          <w:sz w:val="44"/>
          <w:szCs w:val="44"/>
          <w:lang w:val="en-US" w:eastAsia="zh-CN"/>
        </w:rPr>
        <w:t>关于下达2023年自治区财政城镇保障性</w:t>
      </w:r>
    </w:p>
    <w:p>
      <w:pPr>
        <w:spacing w:line="600" w:lineRule="exact"/>
        <w:ind w:left="420" w:leftChars="200" w:right="160"/>
        <w:jc w:val="center"/>
        <w:rPr>
          <w:rFonts w:hint="eastAsia" w:ascii="仿宋_GB2312" w:hAnsi="仿宋" w:eastAsia="仿宋_GB2312" w:cs="Times New Roman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 w:cs="Times New Roman"/>
          <w:sz w:val="44"/>
          <w:szCs w:val="44"/>
          <w:lang w:val="en-US" w:eastAsia="zh-CN"/>
        </w:rPr>
        <w:t>安居工程补助资金分配表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74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单位：万元</w:t>
      </w:r>
    </w:p>
    <w:tbl>
      <w:tblPr>
        <w:tblStyle w:val="3"/>
        <w:tblpPr w:leftFromText="180" w:rightFromText="180" w:vertAnchor="text" w:horzAnchor="page" w:tblpX="1852" w:tblpY="40"/>
        <w:tblOverlap w:val="never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398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8" w:hRule="atLeast"/>
        </w:trPr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资金明细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资金分配数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伊吾县住房和城乡建设局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2023年中央财政城镇保障性安居工程补助资金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伊吾县政府性投资项目代建服务中心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2023年中央财政城镇保障性安居工程补助资金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5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  <w:tc>
          <w:tcPr>
            <w:tcW w:w="39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74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43.00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 w:right="74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44"/>
          <w:szCs w:val="44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>
      <w:pPr>
        <w:spacing w:line="600" w:lineRule="exact"/>
        <w:ind w:right="16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left="420" w:leftChars="200" w:right="160"/>
        <w:jc w:val="center"/>
        <w:rPr>
          <w:rFonts w:hint="default" w:ascii="仿宋_GB2312" w:hAnsi="仿宋" w:eastAsia="仿宋_GB2312" w:cs="Times New Roman"/>
          <w:sz w:val="44"/>
          <w:szCs w:val="44"/>
          <w:lang w:val="en-US" w:eastAsia="zh-CN"/>
        </w:rPr>
      </w:pPr>
    </w:p>
    <w:p/>
    <w:sectPr>
      <w:headerReference r:id="rId3" w:type="default"/>
      <w:pgSz w:w="11906" w:h="16838"/>
      <w:pgMar w:top="1701" w:right="1587" w:bottom="1587" w:left="1587" w:header="851" w:footer="992" w:gutter="0"/>
      <w:cols w:space="720" w:num="1"/>
      <w:docGrid w:type="lines" w:linePitch="31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B">
      <wne:macro wne:macroName="NORMAL.NEWMACROS.公文格式排版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73507"/>
    <w:multiLevelType w:val="singleLevel"/>
    <w:tmpl w:val="1FC735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71434"/>
    <w:rsid w:val="09801426"/>
    <w:rsid w:val="0E7664C8"/>
    <w:rsid w:val="0F1701A7"/>
    <w:rsid w:val="16EE0A88"/>
    <w:rsid w:val="1CD46DF0"/>
    <w:rsid w:val="20594D6C"/>
    <w:rsid w:val="23312AC9"/>
    <w:rsid w:val="27F40BC2"/>
    <w:rsid w:val="2AC7210D"/>
    <w:rsid w:val="2D522AB0"/>
    <w:rsid w:val="35062E3B"/>
    <w:rsid w:val="3607224C"/>
    <w:rsid w:val="37FD7DEC"/>
    <w:rsid w:val="3B285846"/>
    <w:rsid w:val="43327665"/>
    <w:rsid w:val="53273C7B"/>
    <w:rsid w:val="5CE622A1"/>
    <w:rsid w:val="67781D07"/>
    <w:rsid w:val="6EF64035"/>
    <w:rsid w:val="72574D54"/>
    <w:rsid w:val="75335318"/>
    <w:rsid w:val="78EB75F0"/>
    <w:rsid w:val="7A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2023-10-31T08:40:00Z</dcterms:created>
  <dc:creator>Administrator</dc:creator>
  <cp:lastModifiedBy>Administrator</cp:lastModifiedBy>
  <cp:lastPrinted>2023-11-29T10:03:00Z</cp:lastPrinted>
  <dcterms:modified xsi:type="dcterms:W3CDTF">2023-11-29T10:36:01Z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805FAA204D5C4544AFFFAA974CC43328</vt:lpwstr>
  </property>
</Properties>
</file>